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7174E" w14:textId="77777777" w:rsidR="00965CB6" w:rsidRDefault="00965CB6" w:rsidP="00965CB6">
      <w:pPr>
        <w:jc w:val="center"/>
      </w:pPr>
      <w:r>
        <w:rPr>
          <w:noProof/>
          <w:lang w:val="fr-BE" w:eastAsia="fr-BE"/>
        </w:rPr>
        <w:drawing>
          <wp:inline distT="0" distB="0" distL="0" distR="0" wp14:anchorId="68310117" wp14:editId="3B03BBC7">
            <wp:extent cx="2218608" cy="169200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218608" cy="1692000"/>
                    </a:xfrm>
                    <a:prstGeom prst="rect">
                      <a:avLst/>
                    </a:prstGeom>
                    <a:noFill/>
                    <a:ln w="9525">
                      <a:noFill/>
                      <a:miter lim="800000"/>
                      <a:headEnd/>
                      <a:tailEnd/>
                    </a:ln>
                  </pic:spPr>
                </pic:pic>
              </a:graphicData>
            </a:graphic>
          </wp:inline>
        </w:drawing>
      </w:r>
    </w:p>
    <w:p w14:paraId="5A85DAAF" w14:textId="77777777" w:rsidR="00965CB6" w:rsidRPr="00AE1C3C" w:rsidRDefault="00965CB6" w:rsidP="00965CB6">
      <w:pPr>
        <w:jc w:val="center"/>
        <w:rPr>
          <w:rFonts w:asciiTheme="majorHAnsi" w:hAnsiTheme="majorHAnsi" w:cs="Times New Roman"/>
          <w:b/>
        </w:rPr>
      </w:pPr>
      <w:r w:rsidRPr="00AE1C3C">
        <w:rPr>
          <w:rFonts w:asciiTheme="majorHAnsi" w:hAnsiTheme="majorHAnsi" w:cs="Times New Roman"/>
          <w:b/>
        </w:rPr>
        <w:t>Laboratoire Hospitalier Universitaire de Bruxelles- Universitair Laboratorium Brussel</w:t>
      </w:r>
    </w:p>
    <w:p w14:paraId="5C235320" w14:textId="77777777" w:rsidR="00965CB6" w:rsidRPr="00E75C7A" w:rsidRDefault="00965CB6" w:rsidP="00965CB6">
      <w:pPr>
        <w:jc w:val="center"/>
        <w:rPr>
          <w:rFonts w:asciiTheme="majorHAnsi" w:hAnsiTheme="majorHAnsi"/>
          <w:sz w:val="28"/>
          <w:szCs w:val="28"/>
        </w:rPr>
      </w:pPr>
    </w:p>
    <w:p w14:paraId="5238CD83" w14:textId="56F2CC5F" w:rsidR="00965CB6" w:rsidRPr="00E75C7A" w:rsidRDefault="00965CB6" w:rsidP="00965CB6">
      <w:pPr>
        <w:jc w:val="center"/>
        <w:rPr>
          <w:rFonts w:asciiTheme="majorHAnsi" w:hAnsiTheme="majorHAnsi" w:cs="Times New Roman"/>
          <w:b/>
          <w:sz w:val="28"/>
          <w:szCs w:val="28"/>
        </w:rPr>
      </w:pPr>
      <w:r w:rsidRPr="00E75C7A">
        <w:rPr>
          <w:rFonts w:asciiTheme="majorHAnsi" w:hAnsiTheme="majorHAnsi" w:cs="Times New Roman"/>
          <w:b/>
          <w:sz w:val="28"/>
          <w:szCs w:val="28"/>
        </w:rPr>
        <w:t xml:space="preserve">Un </w:t>
      </w:r>
      <w:r w:rsidR="00E75C7A" w:rsidRPr="00E75C7A">
        <w:rPr>
          <w:rFonts w:asciiTheme="majorHAnsi" w:hAnsiTheme="majorHAnsi" w:cs="Times New Roman"/>
          <w:b/>
          <w:sz w:val="28"/>
          <w:szCs w:val="28"/>
        </w:rPr>
        <w:t xml:space="preserve">Résident </w:t>
      </w:r>
      <w:r w:rsidRPr="00E75C7A">
        <w:rPr>
          <w:rFonts w:asciiTheme="majorHAnsi" w:hAnsiTheme="majorHAnsi" w:cs="Times New Roman"/>
          <w:b/>
          <w:sz w:val="28"/>
          <w:szCs w:val="28"/>
        </w:rPr>
        <w:t xml:space="preserve">Médecin / Pharmacien Biologiste </w:t>
      </w:r>
    </w:p>
    <w:p w14:paraId="2F2F31D8" w14:textId="791044D9" w:rsidR="00414C6A" w:rsidRPr="00E75C7A" w:rsidRDefault="00414C6A" w:rsidP="00965CB6">
      <w:pPr>
        <w:jc w:val="center"/>
        <w:rPr>
          <w:rFonts w:asciiTheme="majorHAnsi" w:hAnsiTheme="majorHAnsi" w:cs="Times New Roman"/>
          <w:sz w:val="22"/>
          <w:szCs w:val="22"/>
        </w:rPr>
      </w:pPr>
      <w:r w:rsidRPr="00E75C7A">
        <w:rPr>
          <w:rFonts w:asciiTheme="majorHAnsi" w:hAnsiTheme="majorHAnsi" w:cs="Times New Roman"/>
          <w:b/>
          <w:sz w:val="22"/>
          <w:szCs w:val="22"/>
        </w:rPr>
        <w:t>Service d’Hématologie</w:t>
      </w:r>
    </w:p>
    <w:p w14:paraId="02F61E44" w14:textId="77777777" w:rsidR="00815102" w:rsidRPr="00E75C7A" w:rsidRDefault="00815102" w:rsidP="00187613">
      <w:pPr>
        <w:ind w:left="1092" w:firstLine="258"/>
        <w:jc w:val="both"/>
        <w:rPr>
          <w:rFonts w:asciiTheme="majorHAnsi" w:hAnsiTheme="majorHAnsi" w:cs="Arial"/>
          <w:b/>
          <w:bCs/>
          <w:sz w:val="22"/>
          <w:szCs w:val="22"/>
        </w:rPr>
      </w:pPr>
    </w:p>
    <w:p w14:paraId="36F3D2CC" w14:textId="77777777" w:rsidR="00187613" w:rsidRPr="00E75C7A" w:rsidRDefault="00187613" w:rsidP="00965CB6">
      <w:pPr>
        <w:jc w:val="both"/>
        <w:rPr>
          <w:rFonts w:asciiTheme="majorHAnsi" w:hAnsiTheme="majorHAnsi" w:cs="Times New Roman"/>
          <w:b/>
          <w:bCs/>
          <w:sz w:val="22"/>
          <w:szCs w:val="22"/>
        </w:rPr>
      </w:pPr>
      <w:r w:rsidRPr="00E75C7A">
        <w:rPr>
          <w:rFonts w:asciiTheme="majorHAnsi" w:hAnsiTheme="majorHAnsi" w:cs="Times New Roman"/>
          <w:b/>
          <w:bCs/>
          <w:sz w:val="22"/>
          <w:szCs w:val="22"/>
        </w:rPr>
        <w:t>Le LHUB-ULB engage :</w:t>
      </w:r>
    </w:p>
    <w:p w14:paraId="40A72352" w14:textId="77777777" w:rsidR="00414C6A" w:rsidRPr="00E75C7A" w:rsidRDefault="00414C6A" w:rsidP="00965CB6">
      <w:pPr>
        <w:jc w:val="both"/>
        <w:rPr>
          <w:rFonts w:asciiTheme="majorHAnsi" w:hAnsiTheme="majorHAnsi" w:cs="Times New Roman"/>
          <w:b/>
          <w:bCs/>
          <w:sz w:val="22"/>
          <w:szCs w:val="22"/>
        </w:rPr>
      </w:pPr>
    </w:p>
    <w:p w14:paraId="42EAA983" w14:textId="1C340F03" w:rsidR="00187613" w:rsidRPr="00E75C7A" w:rsidRDefault="00187613" w:rsidP="00965CB6">
      <w:pPr>
        <w:tabs>
          <w:tab w:val="left" w:pos="3629"/>
        </w:tabs>
        <w:jc w:val="both"/>
        <w:rPr>
          <w:rFonts w:asciiTheme="majorHAnsi" w:hAnsiTheme="majorHAnsi" w:cs="Times New Roman"/>
          <w:b/>
          <w:bCs/>
          <w:sz w:val="22"/>
          <w:szCs w:val="22"/>
        </w:rPr>
      </w:pPr>
      <w:r w:rsidRPr="00E75C7A">
        <w:rPr>
          <w:rFonts w:asciiTheme="majorHAnsi" w:hAnsiTheme="majorHAnsi" w:cs="Times New Roman"/>
          <w:bCs/>
          <w:sz w:val="22"/>
          <w:szCs w:val="22"/>
        </w:rPr>
        <w:t xml:space="preserve">Un médecin ou pharmacien spécialisé en biologie clinique à temps plein dans le Service </w:t>
      </w:r>
      <w:r w:rsidR="00AD2325" w:rsidRPr="00E75C7A">
        <w:rPr>
          <w:rFonts w:asciiTheme="majorHAnsi" w:hAnsiTheme="majorHAnsi" w:cs="Times New Roman"/>
          <w:bCs/>
          <w:sz w:val="22"/>
          <w:szCs w:val="22"/>
        </w:rPr>
        <w:t>d’Hématologie</w:t>
      </w:r>
      <w:r w:rsidRPr="00E75C7A">
        <w:rPr>
          <w:rFonts w:asciiTheme="majorHAnsi" w:hAnsiTheme="majorHAnsi" w:cs="Times New Roman"/>
          <w:bCs/>
          <w:sz w:val="22"/>
          <w:szCs w:val="22"/>
        </w:rPr>
        <w:t xml:space="preserve"> du LHUB-ULB.</w:t>
      </w:r>
    </w:p>
    <w:p w14:paraId="5335BC95" w14:textId="77777777" w:rsidR="00A92204" w:rsidRPr="005F6C24" w:rsidRDefault="00A92204" w:rsidP="00A92204">
      <w:pPr>
        <w:pStyle w:val="NormalWeb"/>
        <w:rPr>
          <w:rFonts w:ascii="Calibri" w:hAnsi="Calibri"/>
          <w:color w:val="000000"/>
          <w:sz w:val="22"/>
          <w:szCs w:val="22"/>
        </w:rPr>
      </w:pPr>
      <w:r w:rsidRPr="005F6C24">
        <w:rPr>
          <w:rFonts w:ascii="Calibri" w:hAnsi="Calibri"/>
          <w:color w:val="000000"/>
          <w:sz w:val="22"/>
          <w:szCs w:val="22"/>
        </w:rPr>
        <w:t>Le LHUB-ULB est un laboratoire multi-site réalisant les analyses de biologie clinique pour les 5 hôpitaux universitaires bruxellois liés à l'ULB (Hôpital Erasme, CHU Brugmann, CHU St Pierre, Hôpital Universitaire des Enfants Reine Fabiola, Institut Bordet). Afin de participer à la prise en charge optimale des patients, il assure trois missions : le développement technologique, la recherche et l’enseignement notamment au sein de l’Université Libre de Bruxelles. Il réalise 18 millions d’analyses par an, une partie des activités sont accréditées selon la norme ISO15189</w:t>
      </w:r>
      <w:r w:rsidRPr="005F6C24">
        <w:rPr>
          <w:rFonts w:ascii="Calibri" w:hAnsi="Calibri"/>
          <w:sz w:val="22"/>
          <w:szCs w:val="22"/>
        </w:rPr>
        <w:t>*</w:t>
      </w:r>
      <w:r w:rsidRPr="005F6C24">
        <w:rPr>
          <w:rFonts w:ascii="Calibri" w:hAnsi="Calibri"/>
          <w:color w:val="FF0000"/>
          <w:sz w:val="22"/>
          <w:szCs w:val="22"/>
        </w:rPr>
        <w:t>  </w:t>
      </w:r>
      <w:r w:rsidRPr="005F6C24">
        <w:rPr>
          <w:rFonts w:ascii="Calibri" w:hAnsi="Calibri"/>
          <w:color w:val="000000"/>
          <w:sz w:val="22"/>
          <w:szCs w:val="22"/>
        </w:rPr>
        <w:t xml:space="preserve">et le processus d’accréditation est en cours d’extension. </w:t>
      </w:r>
      <w:r w:rsidRPr="005F6C24">
        <w:rPr>
          <w:rFonts w:ascii="Calibri" w:hAnsi="Calibri"/>
          <w:color w:val="000000"/>
          <w:sz w:val="22"/>
          <w:szCs w:val="22"/>
        </w:rPr>
        <w:br/>
        <w:t>Le laboratoire dispose d’un équipement de pointe. Ses médecins et pharmaciens biologistes assurent une importante fonction de conseil spécialisé auprès des cliniciens des hôpitaux partenaires ou extérieurs. L’enseignement et la recherche y tiennent une place primordiale.</w:t>
      </w:r>
    </w:p>
    <w:p w14:paraId="1700DF9E" w14:textId="1C9338B2" w:rsidR="00187613" w:rsidRPr="00E75C7A" w:rsidRDefault="00E75C7A" w:rsidP="00965CB6">
      <w:pPr>
        <w:jc w:val="both"/>
        <w:rPr>
          <w:rFonts w:asciiTheme="majorHAnsi" w:hAnsiTheme="majorHAnsi" w:cs="Times New Roman"/>
          <w:b/>
          <w:bCs/>
          <w:sz w:val="22"/>
          <w:szCs w:val="22"/>
        </w:rPr>
      </w:pPr>
      <w:r w:rsidRPr="00E75C7A">
        <w:rPr>
          <w:rFonts w:asciiTheme="majorHAnsi" w:hAnsiTheme="majorHAnsi" w:cs="Times New Roman"/>
          <w:b/>
          <w:bCs/>
          <w:sz w:val="22"/>
          <w:szCs w:val="22"/>
        </w:rPr>
        <w:t>Le service</w:t>
      </w:r>
    </w:p>
    <w:p w14:paraId="178F6587" w14:textId="77777777" w:rsidR="00187613" w:rsidRPr="00E75C7A" w:rsidRDefault="00187613" w:rsidP="00965CB6">
      <w:pPr>
        <w:jc w:val="both"/>
        <w:rPr>
          <w:rFonts w:asciiTheme="majorHAnsi" w:hAnsiTheme="majorHAnsi" w:cs="Times New Roman"/>
          <w:bCs/>
          <w:sz w:val="22"/>
          <w:szCs w:val="22"/>
        </w:rPr>
      </w:pPr>
      <w:r w:rsidRPr="00E75C7A">
        <w:rPr>
          <w:rFonts w:asciiTheme="majorHAnsi" w:hAnsiTheme="majorHAnsi" w:cs="Times New Roman"/>
          <w:bCs/>
          <w:sz w:val="22"/>
          <w:szCs w:val="22"/>
        </w:rPr>
        <w:t xml:space="preserve">Le service d’hématologie assure l’ensemble des activités de la spécialité à un niveau universitaire. Il comporte des secteurs tels que </w:t>
      </w:r>
      <w:r w:rsidRPr="00E75C7A">
        <w:rPr>
          <w:rFonts w:asciiTheme="majorHAnsi" w:hAnsiTheme="majorHAnsi" w:cs="Times New Roman"/>
          <w:sz w:val="22"/>
          <w:szCs w:val="22"/>
          <w:lang w:val="fr-BE"/>
        </w:rPr>
        <w:t>secteurs d’hématologie, d’hémostase, de cytologie et de cytométrie</w:t>
      </w:r>
      <w:r w:rsidRPr="00E75C7A">
        <w:rPr>
          <w:rFonts w:asciiTheme="majorHAnsi" w:hAnsiTheme="majorHAnsi" w:cs="Times New Roman"/>
          <w:bCs/>
          <w:sz w:val="22"/>
          <w:szCs w:val="22"/>
        </w:rPr>
        <w:t>. Dans le cadre des missions du LHUB-ULB, le service a également des activités d’expertise</w:t>
      </w:r>
      <w:r w:rsidR="00815102" w:rsidRPr="00E75C7A">
        <w:rPr>
          <w:rFonts w:asciiTheme="majorHAnsi" w:hAnsiTheme="majorHAnsi" w:cs="Times New Roman"/>
          <w:bCs/>
          <w:sz w:val="22"/>
          <w:szCs w:val="22"/>
        </w:rPr>
        <w:t xml:space="preserve"> ; </w:t>
      </w:r>
      <w:r w:rsidRPr="00E75C7A">
        <w:rPr>
          <w:rFonts w:asciiTheme="majorHAnsi" w:hAnsiTheme="majorHAnsi" w:cs="Times New Roman"/>
          <w:bCs/>
          <w:sz w:val="22"/>
          <w:szCs w:val="22"/>
        </w:rPr>
        <w:t xml:space="preserve">il conduit des projets de recherche dans les domaines du diagnostic, de </w:t>
      </w:r>
      <w:r w:rsidR="00815102" w:rsidRPr="00E75C7A">
        <w:rPr>
          <w:rFonts w:asciiTheme="majorHAnsi" w:hAnsiTheme="majorHAnsi" w:cs="Times New Roman"/>
          <w:bCs/>
          <w:sz w:val="22"/>
          <w:szCs w:val="22"/>
        </w:rPr>
        <w:t>la prévention</w:t>
      </w:r>
      <w:r w:rsidRPr="00E75C7A">
        <w:rPr>
          <w:rFonts w:asciiTheme="majorHAnsi" w:hAnsiTheme="majorHAnsi" w:cs="Times New Roman"/>
          <w:bCs/>
          <w:sz w:val="22"/>
          <w:szCs w:val="22"/>
        </w:rPr>
        <w:t>; il participe entre autre à l</w:t>
      </w:r>
      <w:r w:rsidRPr="00E75C7A">
        <w:rPr>
          <w:rFonts w:asciiTheme="majorHAnsi" w:hAnsiTheme="majorHAnsi" w:cs="Times New Roman"/>
          <w:sz w:val="22"/>
          <w:szCs w:val="22"/>
        </w:rPr>
        <w:t xml:space="preserve">’enseignement en Faculté de Médecine de l’ULB </w:t>
      </w:r>
      <w:r w:rsidR="00AD2325" w:rsidRPr="00E75C7A">
        <w:rPr>
          <w:rFonts w:asciiTheme="majorHAnsi" w:hAnsiTheme="majorHAnsi" w:cs="Times New Roman"/>
          <w:bCs/>
          <w:sz w:val="22"/>
          <w:szCs w:val="22"/>
        </w:rPr>
        <w:t>(niveaux bachelier et master)</w:t>
      </w:r>
      <w:r w:rsidRPr="00E75C7A">
        <w:rPr>
          <w:rFonts w:asciiTheme="majorHAnsi" w:hAnsiTheme="majorHAnsi" w:cs="Times New Roman"/>
          <w:bCs/>
          <w:sz w:val="22"/>
          <w:szCs w:val="22"/>
        </w:rPr>
        <w:t xml:space="preserve">. </w:t>
      </w:r>
    </w:p>
    <w:p w14:paraId="73369733" w14:textId="77777777" w:rsidR="00187613" w:rsidRPr="00E75C7A" w:rsidRDefault="00187613" w:rsidP="00187613">
      <w:pPr>
        <w:ind w:left="1350"/>
        <w:jc w:val="both"/>
        <w:rPr>
          <w:rFonts w:asciiTheme="majorHAnsi" w:hAnsiTheme="majorHAnsi" w:cs="Times New Roman"/>
          <w:bCs/>
          <w:sz w:val="22"/>
          <w:szCs w:val="22"/>
        </w:rPr>
      </w:pPr>
    </w:p>
    <w:p w14:paraId="10537159" w14:textId="1E03BB14" w:rsidR="00187613" w:rsidRPr="00E75C7A" w:rsidRDefault="00E75C7A" w:rsidP="00965CB6">
      <w:pPr>
        <w:jc w:val="both"/>
        <w:rPr>
          <w:rFonts w:asciiTheme="majorHAnsi" w:hAnsiTheme="majorHAnsi" w:cs="Times New Roman"/>
          <w:b/>
          <w:bCs/>
          <w:sz w:val="22"/>
          <w:szCs w:val="22"/>
        </w:rPr>
      </w:pPr>
      <w:r w:rsidRPr="00E75C7A">
        <w:rPr>
          <w:rFonts w:asciiTheme="majorHAnsi" w:hAnsiTheme="majorHAnsi" w:cs="Times New Roman"/>
          <w:b/>
          <w:bCs/>
          <w:sz w:val="22"/>
          <w:szCs w:val="22"/>
        </w:rPr>
        <w:t>Profil</w:t>
      </w:r>
    </w:p>
    <w:p w14:paraId="6C301382" w14:textId="77777777" w:rsidR="00815102" w:rsidRPr="00E75C7A" w:rsidRDefault="00815102" w:rsidP="00965CB6">
      <w:pPr>
        <w:widowControl w:val="0"/>
        <w:autoSpaceDE w:val="0"/>
        <w:autoSpaceDN w:val="0"/>
        <w:adjustRightInd w:val="0"/>
        <w:rPr>
          <w:rFonts w:asciiTheme="majorHAnsi" w:hAnsiTheme="majorHAnsi" w:cs="Times New Roman"/>
          <w:color w:val="262626"/>
          <w:sz w:val="22"/>
          <w:szCs w:val="22"/>
        </w:rPr>
      </w:pPr>
      <w:r w:rsidRPr="00E75C7A">
        <w:rPr>
          <w:rFonts w:asciiTheme="majorHAnsi" w:hAnsiTheme="majorHAnsi" w:cs="Times New Roman"/>
          <w:color w:val="262626"/>
          <w:sz w:val="22"/>
          <w:szCs w:val="22"/>
        </w:rPr>
        <w:t>Médecin ou pharmacien biologiste avec un tropisme pour l’hématologie de routine et spécialisée.</w:t>
      </w:r>
    </w:p>
    <w:p w14:paraId="4CF0768A" w14:textId="694FBE38" w:rsidR="000C7513" w:rsidRPr="00E75C7A" w:rsidRDefault="000C7513" w:rsidP="000C7513">
      <w:pPr>
        <w:spacing w:line="280" w:lineRule="exact"/>
        <w:jc w:val="both"/>
        <w:rPr>
          <w:rFonts w:asciiTheme="majorHAnsi" w:eastAsia="Arial Unicode MS" w:hAnsiTheme="majorHAnsi" w:cs="Times New Roman"/>
          <w:sz w:val="22"/>
          <w:szCs w:val="22"/>
        </w:rPr>
      </w:pPr>
      <w:r w:rsidRPr="00E75C7A">
        <w:rPr>
          <w:rFonts w:asciiTheme="majorHAnsi" w:eastAsia="Arial Unicode MS" w:hAnsiTheme="majorHAnsi" w:cs="Times New Roman"/>
          <w:sz w:val="22"/>
          <w:szCs w:val="22"/>
        </w:rPr>
        <w:t>Une expérience en hématologie est un atout.</w:t>
      </w:r>
    </w:p>
    <w:p w14:paraId="0B695A91" w14:textId="13BD8DFD" w:rsidR="007E59B4" w:rsidRPr="00E75C7A" w:rsidRDefault="007E59B4" w:rsidP="00965CB6">
      <w:pPr>
        <w:spacing w:line="280" w:lineRule="exact"/>
        <w:jc w:val="both"/>
        <w:rPr>
          <w:rFonts w:asciiTheme="majorHAnsi" w:eastAsia="Arial Unicode MS" w:hAnsiTheme="majorHAnsi" w:cs="Times New Roman"/>
          <w:sz w:val="22"/>
          <w:szCs w:val="22"/>
        </w:rPr>
      </w:pPr>
      <w:r w:rsidRPr="00E75C7A">
        <w:rPr>
          <w:rFonts w:asciiTheme="majorHAnsi" w:hAnsiTheme="majorHAnsi" w:cs="Times New Roman"/>
          <w:bCs/>
          <w:sz w:val="22"/>
          <w:szCs w:val="22"/>
        </w:rPr>
        <w:t xml:space="preserve">Les qualités requises sont la </w:t>
      </w:r>
      <w:r w:rsidRPr="00E75C7A">
        <w:rPr>
          <w:rFonts w:asciiTheme="majorHAnsi" w:eastAsia="Arial Unicode MS" w:hAnsiTheme="majorHAnsi" w:cs="Times New Roman"/>
          <w:sz w:val="22"/>
          <w:szCs w:val="22"/>
        </w:rPr>
        <w:t xml:space="preserve">capacité de communication, </w:t>
      </w:r>
      <w:r w:rsidRPr="00E75C7A">
        <w:rPr>
          <w:rFonts w:asciiTheme="majorHAnsi" w:hAnsiTheme="majorHAnsi" w:cs="Times New Roman"/>
          <w:bCs/>
          <w:sz w:val="22"/>
          <w:szCs w:val="22"/>
        </w:rPr>
        <w:t xml:space="preserve">la </w:t>
      </w:r>
      <w:r w:rsidRPr="00E75C7A">
        <w:rPr>
          <w:rFonts w:asciiTheme="majorHAnsi" w:eastAsia="Arial Unicode MS" w:hAnsiTheme="majorHAnsi" w:cs="Times New Roman"/>
          <w:sz w:val="22"/>
          <w:szCs w:val="22"/>
        </w:rPr>
        <w:t>rigueur</w:t>
      </w:r>
      <w:r w:rsidR="00965CB6" w:rsidRPr="00E75C7A">
        <w:rPr>
          <w:rFonts w:asciiTheme="majorHAnsi" w:eastAsia="Arial Unicode MS" w:hAnsiTheme="majorHAnsi" w:cs="Times New Roman"/>
          <w:sz w:val="22"/>
          <w:szCs w:val="22"/>
        </w:rPr>
        <w:t xml:space="preserve">, la flexibilité et la </w:t>
      </w:r>
      <w:r w:rsidRPr="00E75C7A">
        <w:rPr>
          <w:rFonts w:asciiTheme="majorHAnsi" w:eastAsia="Arial Unicode MS" w:hAnsiTheme="majorHAnsi" w:cs="Times New Roman"/>
          <w:sz w:val="22"/>
          <w:szCs w:val="22"/>
        </w:rPr>
        <w:t>disponibilité.</w:t>
      </w:r>
    </w:p>
    <w:p w14:paraId="63C4155C" w14:textId="77777777" w:rsidR="007E59B4" w:rsidRPr="00E75C7A" w:rsidRDefault="007E59B4" w:rsidP="00815102">
      <w:pPr>
        <w:spacing w:line="280" w:lineRule="exact"/>
        <w:jc w:val="both"/>
        <w:rPr>
          <w:rFonts w:asciiTheme="majorHAnsi" w:eastAsia="Arial Unicode MS" w:hAnsiTheme="majorHAnsi" w:cs="Times New Roman"/>
          <w:sz w:val="22"/>
          <w:szCs w:val="22"/>
        </w:rPr>
      </w:pPr>
    </w:p>
    <w:p w14:paraId="74745C76" w14:textId="77777777" w:rsidR="00187613" w:rsidRPr="00E75C7A" w:rsidRDefault="00187613" w:rsidP="00187613">
      <w:pPr>
        <w:ind w:left="1350"/>
        <w:jc w:val="both"/>
        <w:rPr>
          <w:rFonts w:asciiTheme="majorHAnsi" w:hAnsiTheme="majorHAnsi" w:cs="Times New Roman"/>
          <w:bCs/>
          <w:sz w:val="22"/>
          <w:szCs w:val="22"/>
        </w:rPr>
      </w:pPr>
    </w:p>
    <w:p w14:paraId="4E867E1F" w14:textId="77777777" w:rsidR="00414C6A" w:rsidRPr="00E75C7A" w:rsidRDefault="00414C6A" w:rsidP="00187613">
      <w:pPr>
        <w:ind w:left="1350"/>
        <w:jc w:val="both"/>
        <w:rPr>
          <w:rFonts w:asciiTheme="majorHAnsi" w:hAnsiTheme="majorHAnsi" w:cs="Times New Roman"/>
          <w:bCs/>
          <w:sz w:val="22"/>
          <w:szCs w:val="22"/>
        </w:rPr>
      </w:pPr>
    </w:p>
    <w:p w14:paraId="18A14A59" w14:textId="77777777" w:rsidR="00414C6A" w:rsidRPr="00E75C7A" w:rsidRDefault="00414C6A" w:rsidP="00187613">
      <w:pPr>
        <w:ind w:left="1350"/>
        <w:jc w:val="both"/>
        <w:rPr>
          <w:rFonts w:asciiTheme="majorHAnsi" w:hAnsiTheme="majorHAnsi" w:cs="Times New Roman"/>
          <w:bCs/>
          <w:sz w:val="22"/>
          <w:szCs w:val="22"/>
        </w:rPr>
      </w:pPr>
    </w:p>
    <w:p w14:paraId="3D841835" w14:textId="77777777" w:rsidR="00E75C7A" w:rsidRPr="00E75C7A" w:rsidRDefault="00E75C7A" w:rsidP="00E75C7A">
      <w:pPr>
        <w:rPr>
          <w:rFonts w:asciiTheme="majorHAnsi" w:hAnsiTheme="majorHAnsi"/>
          <w:b/>
          <w:sz w:val="22"/>
          <w:szCs w:val="22"/>
        </w:rPr>
      </w:pPr>
      <w:r w:rsidRPr="00E75C7A">
        <w:rPr>
          <w:rFonts w:asciiTheme="majorHAnsi" w:hAnsiTheme="majorHAnsi"/>
          <w:b/>
          <w:sz w:val="22"/>
          <w:szCs w:val="22"/>
        </w:rPr>
        <w:t>Conditions d’accès</w:t>
      </w:r>
    </w:p>
    <w:p w14:paraId="0FA18B7D" w14:textId="77777777" w:rsidR="00E75C7A" w:rsidRPr="00E75C7A" w:rsidRDefault="00E75C7A" w:rsidP="00E75C7A">
      <w:pPr>
        <w:rPr>
          <w:rFonts w:asciiTheme="majorHAnsi" w:hAnsiTheme="majorHAnsi"/>
          <w:b/>
          <w:sz w:val="22"/>
          <w:szCs w:val="22"/>
        </w:rPr>
      </w:pPr>
    </w:p>
    <w:p w14:paraId="4370F2E8" w14:textId="77777777" w:rsidR="00E75C7A" w:rsidRPr="00E75C7A" w:rsidRDefault="00E75C7A" w:rsidP="00E75C7A">
      <w:pPr>
        <w:pStyle w:val="Paragraphedeliste"/>
        <w:numPr>
          <w:ilvl w:val="0"/>
          <w:numId w:val="6"/>
        </w:numPr>
        <w:jc w:val="both"/>
        <w:rPr>
          <w:rFonts w:asciiTheme="majorHAnsi" w:hAnsiTheme="majorHAnsi"/>
          <w:sz w:val="22"/>
          <w:szCs w:val="22"/>
        </w:rPr>
      </w:pPr>
      <w:r w:rsidRPr="00E75C7A">
        <w:rPr>
          <w:rFonts w:asciiTheme="majorHAnsi" w:hAnsiTheme="majorHAnsi"/>
          <w:sz w:val="22"/>
          <w:szCs w:val="22"/>
        </w:rPr>
        <w:t xml:space="preserve">Pharmacien/Médecin spécialisé en biologie clinique : porteur du diplôme de Docteur en Médecine ou du diplôme de Pharmacien et avoir accompli les formalités légales en vue de l’obtention de sa reconnaissance en biologie clinique. </w:t>
      </w:r>
    </w:p>
    <w:p w14:paraId="70EAA1C7" w14:textId="77777777" w:rsidR="00E75C7A" w:rsidRPr="00E75C7A" w:rsidRDefault="00E75C7A" w:rsidP="00E75C7A">
      <w:pPr>
        <w:rPr>
          <w:rFonts w:asciiTheme="majorHAnsi" w:hAnsiTheme="majorHAnsi"/>
          <w:b/>
          <w:sz w:val="22"/>
          <w:szCs w:val="22"/>
        </w:rPr>
      </w:pPr>
    </w:p>
    <w:p w14:paraId="744D369E" w14:textId="77777777" w:rsidR="00E75C7A" w:rsidRPr="00E75C7A" w:rsidRDefault="00E75C7A" w:rsidP="00E75C7A">
      <w:pPr>
        <w:rPr>
          <w:rFonts w:asciiTheme="majorHAnsi" w:hAnsiTheme="majorHAnsi"/>
          <w:b/>
          <w:sz w:val="22"/>
          <w:szCs w:val="22"/>
        </w:rPr>
      </w:pPr>
      <w:r w:rsidRPr="00E75C7A">
        <w:rPr>
          <w:rFonts w:asciiTheme="majorHAnsi" w:hAnsiTheme="majorHAnsi"/>
          <w:b/>
          <w:sz w:val="22"/>
          <w:szCs w:val="22"/>
        </w:rPr>
        <w:t>Offre</w:t>
      </w:r>
    </w:p>
    <w:p w14:paraId="513537D2" w14:textId="77777777" w:rsidR="00E75C7A" w:rsidRPr="00E75C7A" w:rsidRDefault="00E75C7A" w:rsidP="00E75C7A">
      <w:pPr>
        <w:pStyle w:val="Default"/>
        <w:numPr>
          <w:ilvl w:val="0"/>
          <w:numId w:val="7"/>
        </w:numPr>
        <w:spacing w:after="20"/>
        <w:rPr>
          <w:rFonts w:asciiTheme="majorHAnsi" w:hAnsiTheme="majorHAnsi"/>
          <w:sz w:val="22"/>
          <w:szCs w:val="22"/>
        </w:rPr>
      </w:pPr>
      <w:r w:rsidRPr="00E75C7A">
        <w:rPr>
          <w:rFonts w:asciiTheme="majorHAnsi" w:hAnsiTheme="majorHAnsi"/>
          <w:sz w:val="22"/>
          <w:szCs w:val="22"/>
        </w:rPr>
        <w:t>Une fonction enrichissante et variée dans un environnement de travail universitaire et à visage humain ;</w:t>
      </w:r>
    </w:p>
    <w:p w14:paraId="01AB46D7" w14:textId="77777777" w:rsidR="00E75C7A" w:rsidRPr="00E75C7A" w:rsidRDefault="00E75C7A" w:rsidP="00E75C7A">
      <w:pPr>
        <w:pStyle w:val="Default"/>
        <w:numPr>
          <w:ilvl w:val="0"/>
          <w:numId w:val="7"/>
        </w:numPr>
        <w:spacing w:after="20"/>
        <w:rPr>
          <w:rFonts w:asciiTheme="majorHAnsi" w:hAnsiTheme="majorHAnsi"/>
          <w:sz w:val="22"/>
          <w:szCs w:val="22"/>
        </w:rPr>
      </w:pPr>
      <w:r w:rsidRPr="00E75C7A">
        <w:rPr>
          <w:rFonts w:asciiTheme="majorHAnsi" w:hAnsiTheme="majorHAnsi"/>
          <w:sz w:val="22"/>
          <w:szCs w:val="22"/>
        </w:rPr>
        <w:t>Un environnement technique performant</w:t>
      </w:r>
    </w:p>
    <w:p w14:paraId="22C94787" w14:textId="77777777" w:rsidR="00E75C7A" w:rsidRPr="00E75C7A" w:rsidRDefault="00E75C7A" w:rsidP="00E75C7A">
      <w:pPr>
        <w:pStyle w:val="Default"/>
        <w:numPr>
          <w:ilvl w:val="0"/>
          <w:numId w:val="7"/>
        </w:numPr>
        <w:spacing w:after="20"/>
        <w:rPr>
          <w:rFonts w:asciiTheme="majorHAnsi" w:hAnsiTheme="majorHAnsi"/>
          <w:sz w:val="22"/>
          <w:szCs w:val="22"/>
        </w:rPr>
      </w:pPr>
      <w:r w:rsidRPr="00E75C7A">
        <w:rPr>
          <w:rFonts w:asciiTheme="majorHAnsi" w:hAnsiTheme="majorHAnsi"/>
          <w:sz w:val="22"/>
          <w:szCs w:val="22"/>
        </w:rPr>
        <w:t>Des perspectives d’évolution de carrière dans un laboratoire spécialisé en évolution constante</w:t>
      </w:r>
    </w:p>
    <w:p w14:paraId="1EC9B9F9" w14:textId="77777777" w:rsidR="00E75C7A" w:rsidRPr="00E75C7A" w:rsidRDefault="00E75C7A" w:rsidP="00E75C7A">
      <w:pPr>
        <w:pStyle w:val="Default"/>
        <w:numPr>
          <w:ilvl w:val="0"/>
          <w:numId w:val="7"/>
        </w:numPr>
        <w:spacing w:after="20"/>
        <w:rPr>
          <w:rFonts w:asciiTheme="majorHAnsi" w:hAnsiTheme="majorHAnsi"/>
          <w:sz w:val="22"/>
          <w:szCs w:val="22"/>
        </w:rPr>
      </w:pPr>
      <w:r w:rsidRPr="00E75C7A">
        <w:rPr>
          <w:rFonts w:asciiTheme="majorHAnsi" w:hAnsiTheme="majorHAnsi"/>
          <w:sz w:val="22"/>
          <w:szCs w:val="22"/>
        </w:rPr>
        <w:t>Une intervention dans les frais de transport en commun </w:t>
      </w:r>
    </w:p>
    <w:p w14:paraId="3BF04B37" w14:textId="77777777" w:rsidR="00E75C7A" w:rsidRPr="00E75C7A" w:rsidRDefault="00E75C7A" w:rsidP="00E75C7A">
      <w:pPr>
        <w:pStyle w:val="Default"/>
        <w:numPr>
          <w:ilvl w:val="0"/>
          <w:numId w:val="7"/>
        </w:numPr>
        <w:spacing w:after="20"/>
        <w:rPr>
          <w:rFonts w:asciiTheme="majorHAnsi" w:hAnsiTheme="majorHAnsi"/>
          <w:sz w:val="22"/>
          <w:szCs w:val="22"/>
        </w:rPr>
      </w:pPr>
      <w:r w:rsidRPr="00E75C7A">
        <w:rPr>
          <w:rFonts w:asciiTheme="majorHAnsi" w:hAnsiTheme="majorHAnsi"/>
          <w:sz w:val="22"/>
          <w:szCs w:val="22"/>
        </w:rPr>
        <w:t>Des chèques-repas, des congés scientifiques, des soins à tarif préférentiel dans les hôpitaux du réseau </w:t>
      </w:r>
    </w:p>
    <w:p w14:paraId="0C825AF2" w14:textId="77777777" w:rsidR="00E75C7A" w:rsidRPr="00E75C7A" w:rsidRDefault="00E75C7A" w:rsidP="00E75C7A">
      <w:pPr>
        <w:rPr>
          <w:rFonts w:asciiTheme="majorHAnsi" w:hAnsiTheme="majorHAnsi"/>
          <w:sz w:val="22"/>
          <w:szCs w:val="22"/>
        </w:rPr>
      </w:pPr>
    </w:p>
    <w:p w14:paraId="7FE7A0D8" w14:textId="77777777" w:rsidR="00E75C7A" w:rsidRPr="00E75C7A" w:rsidRDefault="00E75C7A" w:rsidP="00E75C7A">
      <w:pPr>
        <w:rPr>
          <w:rFonts w:asciiTheme="majorHAnsi" w:hAnsiTheme="majorHAnsi"/>
          <w:b/>
          <w:sz w:val="22"/>
          <w:szCs w:val="22"/>
        </w:rPr>
      </w:pPr>
      <w:r w:rsidRPr="00E75C7A">
        <w:rPr>
          <w:rFonts w:asciiTheme="majorHAnsi" w:hAnsiTheme="majorHAnsi"/>
          <w:b/>
          <w:sz w:val="22"/>
          <w:szCs w:val="22"/>
        </w:rPr>
        <w:t>Modalités</w:t>
      </w:r>
    </w:p>
    <w:p w14:paraId="741281BE" w14:textId="77777777" w:rsidR="00E75C7A" w:rsidRPr="00E75C7A" w:rsidRDefault="00E75C7A" w:rsidP="00E75C7A">
      <w:pPr>
        <w:jc w:val="both"/>
        <w:rPr>
          <w:rFonts w:asciiTheme="majorHAnsi" w:hAnsiTheme="majorHAnsi"/>
          <w:sz w:val="22"/>
          <w:szCs w:val="22"/>
        </w:rPr>
      </w:pPr>
    </w:p>
    <w:p w14:paraId="050838DC" w14:textId="085823B3" w:rsidR="00E75C7A" w:rsidRPr="00E75C7A" w:rsidRDefault="00A92204" w:rsidP="00E75C7A">
      <w:pPr>
        <w:jc w:val="both"/>
        <w:rPr>
          <w:rFonts w:asciiTheme="majorHAnsi" w:hAnsiTheme="majorHAnsi"/>
          <w:sz w:val="22"/>
          <w:szCs w:val="22"/>
        </w:rPr>
      </w:pPr>
      <w:r>
        <w:rPr>
          <w:rFonts w:asciiTheme="majorHAnsi" w:hAnsiTheme="majorHAnsi"/>
          <w:sz w:val="22"/>
          <w:szCs w:val="22"/>
        </w:rPr>
        <w:t xml:space="preserve">Veuillez envoyer </w:t>
      </w:r>
      <w:r w:rsidR="00100D36">
        <w:rPr>
          <w:rFonts w:asciiTheme="majorHAnsi" w:hAnsiTheme="majorHAnsi"/>
          <w:sz w:val="22"/>
          <w:szCs w:val="22"/>
        </w:rPr>
        <w:t>votre candidature avant le 31</w:t>
      </w:r>
      <w:bookmarkStart w:id="0" w:name="_GoBack"/>
      <w:bookmarkEnd w:id="0"/>
      <w:r w:rsidR="00797DF9">
        <w:rPr>
          <w:rFonts w:asciiTheme="majorHAnsi" w:hAnsiTheme="majorHAnsi"/>
          <w:sz w:val="22"/>
          <w:szCs w:val="22"/>
        </w:rPr>
        <w:t xml:space="preserve">/05/2018 </w:t>
      </w:r>
      <w:r>
        <w:rPr>
          <w:rFonts w:asciiTheme="majorHAnsi" w:hAnsiTheme="majorHAnsi"/>
          <w:sz w:val="22"/>
          <w:szCs w:val="22"/>
        </w:rPr>
        <w:t>via les sites d’emploi de nos hôpitaux partenaires.</w:t>
      </w:r>
    </w:p>
    <w:p w14:paraId="2779F384" w14:textId="1FDBCAE1" w:rsidR="00E75C7A" w:rsidRPr="00E75C7A" w:rsidRDefault="00E75C7A" w:rsidP="00E75C7A">
      <w:pPr>
        <w:jc w:val="both"/>
        <w:rPr>
          <w:rFonts w:asciiTheme="majorHAnsi" w:hAnsiTheme="majorHAnsi"/>
          <w:sz w:val="22"/>
          <w:szCs w:val="22"/>
        </w:rPr>
      </w:pPr>
      <w:r w:rsidRPr="00E75C7A">
        <w:rPr>
          <w:rFonts w:asciiTheme="majorHAnsi" w:hAnsiTheme="majorHAnsi"/>
          <w:sz w:val="22"/>
          <w:szCs w:val="22"/>
        </w:rPr>
        <w:t>Tout renseignement complémentaire concernant la fonction peut être obtenu auprès du Dr B. Cantinieaux</w:t>
      </w:r>
      <w:r w:rsidR="00797DF9">
        <w:rPr>
          <w:rFonts w:asciiTheme="majorHAnsi" w:hAnsiTheme="majorHAnsi"/>
          <w:sz w:val="22"/>
          <w:szCs w:val="22"/>
        </w:rPr>
        <w:t>, Chef de service d’Hématologie</w:t>
      </w:r>
      <w:r w:rsidRPr="00E75C7A">
        <w:rPr>
          <w:rFonts w:asciiTheme="majorHAnsi" w:hAnsiTheme="majorHAnsi"/>
          <w:sz w:val="22"/>
          <w:szCs w:val="22"/>
        </w:rPr>
        <w:t xml:space="preserve"> (02/435 20 70)</w:t>
      </w:r>
    </w:p>
    <w:p w14:paraId="4353497F" w14:textId="77777777" w:rsidR="00187613" w:rsidRPr="00E75C7A" w:rsidRDefault="00187613" w:rsidP="00187613">
      <w:pPr>
        <w:ind w:left="708" w:firstLine="708"/>
        <w:jc w:val="both"/>
        <w:rPr>
          <w:rFonts w:ascii="Times New Roman" w:hAnsi="Times New Roman" w:cs="Times New Roman"/>
          <w:bCs/>
        </w:rPr>
      </w:pPr>
    </w:p>
    <w:p w14:paraId="03FD1966" w14:textId="77777777" w:rsidR="00187613" w:rsidRPr="00965CB6" w:rsidRDefault="00187613" w:rsidP="00187613">
      <w:pPr>
        <w:ind w:left="1092" w:firstLine="258"/>
        <w:jc w:val="both"/>
        <w:rPr>
          <w:rFonts w:ascii="Times New Roman" w:hAnsi="Times New Roman" w:cs="Times New Roman"/>
          <w:bCs/>
        </w:rPr>
      </w:pPr>
    </w:p>
    <w:p w14:paraId="48A27657" w14:textId="77777777" w:rsidR="00A92204" w:rsidRPr="00A92204" w:rsidRDefault="00A92204" w:rsidP="00A92204">
      <w:pPr>
        <w:pStyle w:val="NormalWeb"/>
        <w:rPr>
          <w:rFonts w:asciiTheme="majorHAnsi" w:hAnsiTheme="majorHAnsi"/>
          <w:sz w:val="22"/>
          <w:szCs w:val="22"/>
        </w:rPr>
      </w:pPr>
      <w:r w:rsidRPr="00A92204">
        <w:rPr>
          <w:rFonts w:asciiTheme="majorHAnsi" w:hAnsiTheme="majorHAnsi" w:cs="Arial"/>
          <w:sz w:val="22"/>
          <w:szCs w:val="22"/>
        </w:rPr>
        <w:t>*</w:t>
      </w:r>
      <w:r w:rsidRPr="00A92204">
        <w:rPr>
          <w:rFonts w:asciiTheme="majorHAnsi" w:hAnsiTheme="majorHAnsi" w:cstheme="minorBidi"/>
          <w:sz w:val="22"/>
          <w:szCs w:val="22"/>
          <w:lang w:val="fr-FR" w:eastAsia="en-US"/>
        </w:rPr>
        <w:t>Certificat d’Accréditation BELAC n°613-MED /Site HORTA LHUB-ULB</w:t>
      </w:r>
    </w:p>
    <w:p w14:paraId="1BA2B4DC" w14:textId="77777777" w:rsidR="00A92204" w:rsidRPr="00A92204" w:rsidRDefault="00A92204" w:rsidP="00A92204">
      <w:pPr>
        <w:pStyle w:val="NormalWeb"/>
        <w:rPr>
          <w:rFonts w:asciiTheme="majorHAnsi" w:hAnsiTheme="majorHAnsi"/>
          <w:sz w:val="22"/>
          <w:szCs w:val="22"/>
        </w:rPr>
      </w:pPr>
      <w:r w:rsidRPr="00A92204">
        <w:rPr>
          <w:rFonts w:asciiTheme="majorHAnsi" w:hAnsiTheme="majorHAnsi" w:cstheme="minorBidi"/>
          <w:sz w:val="22"/>
          <w:szCs w:val="22"/>
          <w:lang w:val="fr-FR" w:eastAsia="en-US"/>
        </w:rPr>
        <w:t xml:space="preserve"> Certificat d'Accréditation BELAC n°406-MED  /Site Porte de Hal LHUB-ULB</w:t>
      </w:r>
    </w:p>
    <w:p w14:paraId="4C0119D0" w14:textId="77777777" w:rsidR="00A92204" w:rsidRPr="00A92204" w:rsidRDefault="00A92204" w:rsidP="00A92204">
      <w:pPr>
        <w:pStyle w:val="NormalWeb"/>
        <w:rPr>
          <w:rFonts w:asciiTheme="majorHAnsi" w:hAnsiTheme="majorHAnsi"/>
          <w:sz w:val="22"/>
          <w:szCs w:val="22"/>
        </w:rPr>
      </w:pPr>
      <w:r w:rsidRPr="00A92204">
        <w:rPr>
          <w:rFonts w:asciiTheme="majorHAnsi" w:hAnsiTheme="majorHAnsi" w:cstheme="minorBidi"/>
          <w:sz w:val="22"/>
          <w:szCs w:val="22"/>
          <w:lang w:eastAsia="en-US"/>
        </w:rPr>
        <w:t xml:space="preserve"> </w:t>
      </w:r>
      <w:r w:rsidRPr="00A92204">
        <w:rPr>
          <w:rFonts w:asciiTheme="majorHAnsi" w:hAnsiTheme="majorHAnsi" w:cstheme="minorBidi"/>
          <w:sz w:val="22"/>
          <w:szCs w:val="22"/>
          <w:lang w:val="fr-FR" w:eastAsia="en-US"/>
        </w:rPr>
        <w:t>Certificat d'Accréditation BELAC n°245-MED  /Site Anderlecht LHUB-ULB (Pôle des  Laboratoires)</w:t>
      </w:r>
    </w:p>
    <w:p w14:paraId="61481BC0" w14:textId="77777777" w:rsidR="00A92204" w:rsidRPr="00A92204" w:rsidRDefault="00A92204" w:rsidP="00A92204">
      <w:pPr>
        <w:pStyle w:val="NormalWeb"/>
        <w:rPr>
          <w:rFonts w:asciiTheme="majorHAnsi" w:hAnsiTheme="majorHAnsi"/>
          <w:sz w:val="22"/>
          <w:szCs w:val="22"/>
        </w:rPr>
      </w:pPr>
      <w:r w:rsidRPr="00A92204">
        <w:rPr>
          <w:rFonts w:asciiTheme="majorHAnsi" w:hAnsiTheme="majorHAnsi" w:cstheme="minorBidi"/>
          <w:sz w:val="22"/>
          <w:szCs w:val="22"/>
          <w:lang w:eastAsia="en-US"/>
        </w:rPr>
        <w:t xml:space="preserve"> </w:t>
      </w:r>
      <w:r w:rsidRPr="00A92204">
        <w:rPr>
          <w:rFonts w:asciiTheme="majorHAnsi" w:hAnsiTheme="majorHAnsi" w:cstheme="minorBidi"/>
          <w:sz w:val="22"/>
          <w:szCs w:val="22"/>
          <w:lang w:val="fr-FR" w:eastAsia="en-US"/>
        </w:rPr>
        <w:t>Domaines d’application disponibles sur demande au secrétariat du laboratoire ou  consultable sur le   site BELAC</w:t>
      </w:r>
    </w:p>
    <w:p w14:paraId="1FC40AA4" w14:textId="77777777" w:rsidR="00187613" w:rsidRPr="00A92204" w:rsidRDefault="00187613" w:rsidP="00187613">
      <w:pPr>
        <w:widowControl w:val="0"/>
        <w:autoSpaceDE w:val="0"/>
        <w:autoSpaceDN w:val="0"/>
        <w:adjustRightInd w:val="0"/>
        <w:rPr>
          <w:rFonts w:ascii="Times New Roman" w:hAnsi="Times New Roman" w:cs="Times New Roman"/>
          <w:color w:val="094EC0"/>
          <w:sz w:val="60"/>
          <w:szCs w:val="60"/>
          <w:lang w:val="fr-BE"/>
        </w:rPr>
      </w:pPr>
    </w:p>
    <w:p w14:paraId="3ED8EBFA" w14:textId="77777777" w:rsidR="006D0498" w:rsidRPr="00965CB6" w:rsidRDefault="006D0498" w:rsidP="00187613">
      <w:pPr>
        <w:rPr>
          <w:rFonts w:ascii="Times New Roman" w:hAnsi="Times New Roman" w:cs="Times New Roman"/>
        </w:rPr>
      </w:pPr>
    </w:p>
    <w:sectPr w:rsidR="006D0498" w:rsidRPr="00965CB6" w:rsidSect="006D049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8D0D50"/>
    <w:multiLevelType w:val="hybridMultilevel"/>
    <w:tmpl w:val="DFFC5B1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 w15:restartNumberingAfterBreak="0">
    <w:nsid w:val="396F125E"/>
    <w:multiLevelType w:val="multilevel"/>
    <w:tmpl w:val="8A4E5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28236A"/>
    <w:multiLevelType w:val="hybridMultilevel"/>
    <w:tmpl w:val="89749A2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 w15:restartNumberingAfterBreak="0">
    <w:nsid w:val="4CB91700"/>
    <w:multiLevelType w:val="hybridMultilevel"/>
    <w:tmpl w:val="3550C446"/>
    <w:lvl w:ilvl="0" w:tplc="080C0001">
      <w:start w:val="1"/>
      <w:numFmt w:val="bullet"/>
      <w:lvlText w:val=""/>
      <w:lvlJc w:val="left"/>
      <w:pPr>
        <w:ind w:left="2070" w:hanging="360"/>
      </w:pPr>
      <w:rPr>
        <w:rFonts w:ascii="Symbol" w:hAnsi="Symbol" w:hint="default"/>
      </w:rPr>
    </w:lvl>
    <w:lvl w:ilvl="1" w:tplc="080C0003" w:tentative="1">
      <w:start w:val="1"/>
      <w:numFmt w:val="bullet"/>
      <w:lvlText w:val="o"/>
      <w:lvlJc w:val="left"/>
      <w:pPr>
        <w:ind w:left="2790" w:hanging="360"/>
      </w:pPr>
      <w:rPr>
        <w:rFonts w:ascii="Courier New" w:hAnsi="Courier New" w:cs="Courier New" w:hint="default"/>
      </w:rPr>
    </w:lvl>
    <w:lvl w:ilvl="2" w:tplc="080C0005" w:tentative="1">
      <w:start w:val="1"/>
      <w:numFmt w:val="bullet"/>
      <w:lvlText w:val=""/>
      <w:lvlJc w:val="left"/>
      <w:pPr>
        <w:ind w:left="3510" w:hanging="360"/>
      </w:pPr>
      <w:rPr>
        <w:rFonts w:ascii="Wingdings" w:hAnsi="Wingdings" w:hint="default"/>
      </w:rPr>
    </w:lvl>
    <w:lvl w:ilvl="3" w:tplc="080C0001" w:tentative="1">
      <w:start w:val="1"/>
      <w:numFmt w:val="bullet"/>
      <w:lvlText w:val=""/>
      <w:lvlJc w:val="left"/>
      <w:pPr>
        <w:ind w:left="4230" w:hanging="360"/>
      </w:pPr>
      <w:rPr>
        <w:rFonts w:ascii="Symbol" w:hAnsi="Symbol" w:hint="default"/>
      </w:rPr>
    </w:lvl>
    <w:lvl w:ilvl="4" w:tplc="080C0003" w:tentative="1">
      <w:start w:val="1"/>
      <w:numFmt w:val="bullet"/>
      <w:lvlText w:val="o"/>
      <w:lvlJc w:val="left"/>
      <w:pPr>
        <w:ind w:left="4950" w:hanging="360"/>
      </w:pPr>
      <w:rPr>
        <w:rFonts w:ascii="Courier New" w:hAnsi="Courier New" w:cs="Courier New" w:hint="default"/>
      </w:rPr>
    </w:lvl>
    <w:lvl w:ilvl="5" w:tplc="080C0005" w:tentative="1">
      <w:start w:val="1"/>
      <w:numFmt w:val="bullet"/>
      <w:lvlText w:val=""/>
      <w:lvlJc w:val="left"/>
      <w:pPr>
        <w:ind w:left="5670" w:hanging="360"/>
      </w:pPr>
      <w:rPr>
        <w:rFonts w:ascii="Wingdings" w:hAnsi="Wingdings" w:hint="default"/>
      </w:rPr>
    </w:lvl>
    <w:lvl w:ilvl="6" w:tplc="080C0001" w:tentative="1">
      <w:start w:val="1"/>
      <w:numFmt w:val="bullet"/>
      <w:lvlText w:val=""/>
      <w:lvlJc w:val="left"/>
      <w:pPr>
        <w:ind w:left="6390" w:hanging="360"/>
      </w:pPr>
      <w:rPr>
        <w:rFonts w:ascii="Symbol" w:hAnsi="Symbol" w:hint="default"/>
      </w:rPr>
    </w:lvl>
    <w:lvl w:ilvl="7" w:tplc="080C0003" w:tentative="1">
      <w:start w:val="1"/>
      <w:numFmt w:val="bullet"/>
      <w:lvlText w:val="o"/>
      <w:lvlJc w:val="left"/>
      <w:pPr>
        <w:ind w:left="7110" w:hanging="360"/>
      </w:pPr>
      <w:rPr>
        <w:rFonts w:ascii="Courier New" w:hAnsi="Courier New" w:cs="Courier New" w:hint="default"/>
      </w:rPr>
    </w:lvl>
    <w:lvl w:ilvl="8" w:tplc="080C0005" w:tentative="1">
      <w:start w:val="1"/>
      <w:numFmt w:val="bullet"/>
      <w:lvlText w:val=""/>
      <w:lvlJc w:val="left"/>
      <w:pPr>
        <w:ind w:left="7830" w:hanging="360"/>
      </w:pPr>
      <w:rPr>
        <w:rFonts w:ascii="Wingdings" w:hAnsi="Wingdings" w:hint="default"/>
      </w:rPr>
    </w:lvl>
  </w:abstractNum>
  <w:abstractNum w:abstractNumId="4" w15:restartNumberingAfterBreak="0">
    <w:nsid w:val="6ED4036D"/>
    <w:multiLevelType w:val="multilevel"/>
    <w:tmpl w:val="51CC63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AF6DC6"/>
    <w:multiLevelType w:val="hybridMultilevel"/>
    <w:tmpl w:val="13723924"/>
    <w:lvl w:ilvl="0" w:tplc="080C0003">
      <w:start w:val="1"/>
      <w:numFmt w:val="bullet"/>
      <w:lvlText w:val="o"/>
      <w:lvlJc w:val="left"/>
      <w:pPr>
        <w:ind w:left="2070" w:hanging="360"/>
      </w:pPr>
      <w:rPr>
        <w:rFonts w:ascii="Courier New" w:hAnsi="Courier New" w:cs="Courier New" w:hint="default"/>
      </w:rPr>
    </w:lvl>
    <w:lvl w:ilvl="1" w:tplc="080C0003" w:tentative="1">
      <w:start w:val="1"/>
      <w:numFmt w:val="bullet"/>
      <w:lvlText w:val="o"/>
      <w:lvlJc w:val="left"/>
      <w:pPr>
        <w:ind w:left="2790" w:hanging="360"/>
      </w:pPr>
      <w:rPr>
        <w:rFonts w:ascii="Courier New" w:hAnsi="Courier New" w:cs="Courier New" w:hint="default"/>
      </w:rPr>
    </w:lvl>
    <w:lvl w:ilvl="2" w:tplc="080C0005" w:tentative="1">
      <w:start w:val="1"/>
      <w:numFmt w:val="bullet"/>
      <w:lvlText w:val=""/>
      <w:lvlJc w:val="left"/>
      <w:pPr>
        <w:ind w:left="3510" w:hanging="360"/>
      </w:pPr>
      <w:rPr>
        <w:rFonts w:ascii="Wingdings" w:hAnsi="Wingdings" w:hint="default"/>
      </w:rPr>
    </w:lvl>
    <w:lvl w:ilvl="3" w:tplc="080C0001" w:tentative="1">
      <w:start w:val="1"/>
      <w:numFmt w:val="bullet"/>
      <w:lvlText w:val=""/>
      <w:lvlJc w:val="left"/>
      <w:pPr>
        <w:ind w:left="4230" w:hanging="360"/>
      </w:pPr>
      <w:rPr>
        <w:rFonts w:ascii="Symbol" w:hAnsi="Symbol" w:hint="default"/>
      </w:rPr>
    </w:lvl>
    <w:lvl w:ilvl="4" w:tplc="080C0003" w:tentative="1">
      <w:start w:val="1"/>
      <w:numFmt w:val="bullet"/>
      <w:lvlText w:val="o"/>
      <w:lvlJc w:val="left"/>
      <w:pPr>
        <w:ind w:left="4950" w:hanging="360"/>
      </w:pPr>
      <w:rPr>
        <w:rFonts w:ascii="Courier New" w:hAnsi="Courier New" w:cs="Courier New" w:hint="default"/>
      </w:rPr>
    </w:lvl>
    <w:lvl w:ilvl="5" w:tplc="080C0005" w:tentative="1">
      <w:start w:val="1"/>
      <w:numFmt w:val="bullet"/>
      <w:lvlText w:val=""/>
      <w:lvlJc w:val="left"/>
      <w:pPr>
        <w:ind w:left="5670" w:hanging="360"/>
      </w:pPr>
      <w:rPr>
        <w:rFonts w:ascii="Wingdings" w:hAnsi="Wingdings" w:hint="default"/>
      </w:rPr>
    </w:lvl>
    <w:lvl w:ilvl="6" w:tplc="080C0001" w:tentative="1">
      <w:start w:val="1"/>
      <w:numFmt w:val="bullet"/>
      <w:lvlText w:val=""/>
      <w:lvlJc w:val="left"/>
      <w:pPr>
        <w:ind w:left="6390" w:hanging="360"/>
      </w:pPr>
      <w:rPr>
        <w:rFonts w:ascii="Symbol" w:hAnsi="Symbol" w:hint="default"/>
      </w:rPr>
    </w:lvl>
    <w:lvl w:ilvl="7" w:tplc="080C0003" w:tentative="1">
      <w:start w:val="1"/>
      <w:numFmt w:val="bullet"/>
      <w:lvlText w:val="o"/>
      <w:lvlJc w:val="left"/>
      <w:pPr>
        <w:ind w:left="7110" w:hanging="360"/>
      </w:pPr>
      <w:rPr>
        <w:rFonts w:ascii="Courier New" w:hAnsi="Courier New" w:cs="Courier New" w:hint="default"/>
      </w:rPr>
    </w:lvl>
    <w:lvl w:ilvl="8" w:tplc="080C0005" w:tentative="1">
      <w:start w:val="1"/>
      <w:numFmt w:val="bullet"/>
      <w:lvlText w:val=""/>
      <w:lvlJc w:val="left"/>
      <w:pPr>
        <w:ind w:left="7830" w:hanging="360"/>
      </w:pPr>
      <w:rPr>
        <w:rFonts w:ascii="Wingdings" w:hAnsi="Wingdings" w:hint="default"/>
      </w:rPr>
    </w:lvl>
  </w:abstractNum>
  <w:abstractNum w:abstractNumId="6" w15:restartNumberingAfterBreak="0">
    <w:nsid w:val="79626666"/>
    <w:multiLevelType w:val="hybridMultilevel"/>
    <w:tmpl w:val="11FA0450"/>
    <w:lvl w:ilvl="0" w:tplc="080C0003">
      <w:start w:val="1"/>
      <w:numFmt w:val="bullet"/>
      <w:lvlText w:val="o"/>
      <w:lvlJc w:val="left"/>
      <w:pPr>
        <w:ind w:left="720" w:hanging="360"/>
      </w:pPr>
      <w:rPr>
        <w:rFonts w:ascii="Courier New" w:hAnsi="Courier New" w:cs="Courier New"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613"/>
    <w:rsid w:val="00006CCD"/>
    <w:rsid w:val="000C7513"/>
    <w:rsid w:val="00100D36"/>
    <w:rsid w:val="00187613"/>
    <w:rsid w:val="00414C6A"/>
    <w:rsid w:val="006D0498"/>
    <w:rsid w:val="00782E80"/>
    <w:rsid w:val="00797DF9"/>
    <w:rsid w:val="007E59B4"/>
    <w:rsid w:val="00815102"/>
    <w:rsid w:val="00965CB6"/>
    <w:rsid w:val="00A92204"/>
    <w:rsid w:val="00AD2325"/>
    <w:rsid w:val="00AE1C3C"/>
    <w:rsid w:val="00D11826"/>
    <w:rsid w:val="00E75C7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5F009A"/>
  <w14:defaultImageDpi w14:val="300"/>
  <w15:docId w15:val="{91C9F0EC-82BE-4760-A7FA-D2DBF83D8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187613"/>
    <w:pPr>
      <w:ind w:left="720"/>
      <w:contextualSpacing/>
    </w:pPr>
    <w:rPr>
      <w:rFonts w:ascii="Times New Roman" w:eastAsia="Times New Roman" w:hAnsi="Times New Roman" w:cs="Times New Roman"/>
      <w:lang w:val="fr-BE" w:eastAsia="fr-BE"/>
    </w:rPr>
  </w:style>
  <w:style w:type="paragraph" w:styleId="NormalWeb">
    <w:name w:val="Normal (Web)"/>
    <w:basedOn w:val="Normal"/>
    <w:uiPriority w:val="99"/>
    <w:unhideWhenUsed/>
    <w:rsid w:val="00815102"/>
    <w:pPr>
      <w:spacing w:before="100" w:beforeAutospacing="1" w:after="100" w:afterAutospacing="1"/>
    </w:pPr>
    <w:rPr>
      <w:rFonts w:ascii="Times" w:hAnsi="Times" w:cs="Times New Roman"/>
      <w:sz w:val="20"/>
      <w:szCs w:val="20"/>
      <w:lang w:val="fr-BE"/>
    </w:rPr>
  </w:style>
  <w:style w:type="character" w:styleId="Lienhypertexte">
    <w:name w:val="Hyperlink"/>
    <w:basedOn w:val="Policepardfaut"/>
    <w:unhideWhenUsed/>
    <w:rsid w:val="00965CB6"/>
    <w:rPr>
      <w:color w:val="0000FF" w:themeColor="hyperlink"/>
      <w:u w:val="single"/>
    </w:rPr>
  </w:style>
  <w:style w:type="paragraph" w:customStyle="1" w:styleId="Default">
    <w:name w:val="Default"/>
    <w:rsid w:val="00E75C7A"/>
    <w:pPr>
      <w:autoSpaceDE w:val="0"/>
      <w:autoSpaceDN w:val="0"/>
      <w:adjustRightInd w:val="0"/>
    </w:pPr>
    <w:rPr>
      <w:rFonts w:ascii="Arial" w:eastAsiaTheme="minorHAnsi" w:hAnsi="Arial" w:cs="Arial"/>
      <w:color w:val="000000"/>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304684">
      <w:bodyDiv w:val="1"/>
      <w:marLeft w:val="0"/>
      <w:marRight w:val="0"/>
      <w:marTop w:val="0"/>
      <w:marBottom w:val="0"/>
      <w:divBdr>
        <w:top w:val="none" w:sz="0" w:space="0" w:color="auto"/>
        <w:left w:val="none" w:sz="0" w:space="0" w:color="auto"/>
        <w:bottom w:val="none" w:sz="0" w:space="0" w:color="auto"/>
        <w:right w:val="none" w:sz="0" w:space="0" w:color="auto"/>
      </w:divBdr>
    </w:div>
    <w:div w:id="1763985129">
      <w:bodyDiv w:val="1"/>
      <w:marLeft w:val="0"/>
      <w:marRight w:val="0"/>
      <w:marTop w:val="0"/>
      <w:marBottom w:val="0"/>
      <w:divBdr>
        <w:top w:val="none" w:sz="0" w:space="0" w:color="auto"/>
        <w:left w:val="none" w:sz="0" w:space="0" w:color="auto"/>
        <w:bottom w:val="none" w:sz="0" w:space="0" w:color="auto"/>
        <w:right w:val="none" w:sz="0" w:space="0" w:color="auto"/>
      </w:divBdr>
      <w:divsChild>
        <w:div w:id="1309356377">
          <w:marLeft w:val="0"/>
          <w:marRight w:val="0"/>
          <w:marTop w:val="0"/>
          <w:marBottom w:val="0"/>
          <w:divBdr>
            <w:top w:val="none" w:sz="0" w:space="0" w:color="auto"/>
            <w:left w:val="none" w:sz="0" w:space="0" w:color="auto"/>
            <w:bottom w:val="none" w:sz="0" w:space="0" w:color="auto"/>
            <w:right w:val="none" w:sz="0" w:space="0" w:color="auto"/>
          </w:divBdr>
          <w:divsChild>
            <w:div w:id="234970466">
              <w:marLeft w:val="0"/>
              <w:marRight w:val="0"/>
              <w:marTop w:val="0"/>
              <w:marBottom w:val="0"/>
              <w:divBdr>
                <w:top w:val="none" w:sz="0" w:space="0" w:color="auto"/>
                <w:left w:val="none" w:sz="0" w:space="0" w:color="auto"/>
                <w:bottom w:val="none" w:sz="0" w:space="0" w:color="auto"/>
                <w:right w:val="none" w:sz="0" w:space="0" w:color="auto"/>
              </w:divBdr>
              <w:divsChild>
                <w:div w:id="372534707">
                  <w:marLeft w:val="0"/>
                  <w:marRight w:val="0"/>
                  <w:marTop w:val="0"/>
                  <w:marBottom w:val="0"/>
                  <w:divBdr>
                    <w:top w:val="none" w:sz="0" w:space="0" w:color="auto"/>
                    <w:left w:val="none" w:sz="0" w:space="0" w:color="auto"/>
                    <w:bottom w:val="none" w:sz="0" w:space="0" w:color="auto"/>
                    <w:right w:val="none" w:sz="0" w:space="0" w:color="auto"/>
                  </w:divBdr>
                </w:div>
              </w:divsChild>
            </w:div>
            <w:div w:id="230165814">
              <w:marLeft w:val="0"/>
              <w:marRight w:val="0"/>
              <w:marTop w:val="0"/>
              <w:marBottom w:val="0"/>
              <w:divBdr>
                <w:top w:val="none" w:sz="0" w:space="0" w:color="auto"/>
                <w:left w:val="none" w:sz="0" w:space="0" w:color="auto"/>
                <w:bottom w:val="none" w:sz="0" w:space="0" w:color="auto"/>
                <w:right w:val="none" w:sz="0" w:space="0" w:color="auto"/>
              </w:divBdr>
              <w:divsChild>
                <w:div w:id="367032289">
                  <w:marLeft w:val="0"/>
                  <w:marRight w:val="0"/>
                  <w:marTop w:val="0"/>
                  <w:marBottom w:val="0"/>
                  <w:divBdr>
                    <w:top w:val="none" w:sz="0" w:space="0" w:color="auto"/>
                    <w:left w:val="none" w:sz="0" w:space="0" w:color="auto"/>
                    <w:bottom w:val="none" w:sz="0" w:space="0" w:color="auto"/>
                    <w:right w:val="none" w:sz="0" w:space="0" w:color="auto"/>
                  </w:divBdr>
                  <w:divsChild>
                    <w:div w:id="63059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8667">
              <w:marLeft w:val="0"/>
              <w:marRight w:val="0"/>
              <w:marTop w:val="0"/>
              <w:marBottom w:val="0"/>
              <w:divBdr>
                <w:top w:val="none" w:sz="0" w:space="0" w:color="auto"/>
                <w:left w:val="none" w:sz="0" w:space="0" w:color="auto"/>
                <w:bottom w:val="none" w:sz="0" w:space="0" w:color="auto"/>
                <w:right w:val="none" w:sz="0" w:space="0" w:color="auto"/>
              </w:divBdr>
              <w:divsChild>
                <w:div w:id="146427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93141">
          <w:marLeft w:val="0"/>
          <w:marRight w:val="0"/>
          <w:marTop w:val="0"/>
          <w:marBottom w:val="0"/>
          <w:divBdr>
            <w:top w:val="none" w:sz="0" w:space="0" w:color="auto"/>
            <w:left w:val="none" w:sz="0" w:space="0" w:color="auto"/>
            <w:bottom w:val="none" w:sz="0" w:space="0" w:color="auto"/>
            <w:right w:val="none" w:sz="0" w:space="0" w:color="auto"/>
          </w:divBdr>
          <w:divsChild>
            <w:div w:id="485438404">
              <w:marLeft w:val="0"/>
              <w:marRight w:val="0"/>
              <w:marTop w:val="0"/>
              <w:marBottom w:val="0"/>
              <w:divBdr>
                <w:top w:val="none" w:sz="0" w:space="0" w:color="auto"/>
                <w:left w:val="none" w:sz="0" w:space="0" w:color="auto"/>
                <w:bottom w:val="none" w:sz="0" w:space="0" w:color="auto"/>
                <w:right w:val="none" w:sz="0" w:space="0" w:color="auto"/>
              </w:divBdr>
              <w:divsChild>
                <w:div w:id="72660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496</Words>
  <Characters>2733</Characters>
  <Application>Microsoft Office Word</Application>
  <DocSecurity>0</DocSecurity>
  <Lines>22</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ERASME</Company>
  <LinksUpToDate>false</LinksUpToDate>
  <CharactersWithSpaces>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Béatrice Gulbis</dc:creator>
  <cp:keywords/>
  <dc:description/>
  <cp:lastModifiedBy>Pascale WESEL</cp:lastModifiedBy>
  <cp:revision>4</cp:revision>
  <dcterms:created xsi:type="dcterms:W3CDTF">2018-04-16T08:45:00Z</dcterms:created>
  <dcterms:modified xsi:type="dcterms:W3CDTF">2018-05-07T09:29:00Z</dcterms:modified>
</cp:coreProperties>
</file>